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проекту постановления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равительства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оссийской </w:t>
      </w:r>
      <w:r>
        <w:rPr>
          <w:b/>
          <w:sz w:val="28"/>
          <w:szCs w:val="28"/>
        </w:rPr>
        <w:t xml:space="preserve">Ф</w:t>
      </w:r>
      <w:r>
        <w:rPr>
          <w:b/>
          <w:sz w:val="28"/>
          <w:szCs w:val="28"/>
        </w:rPr>
        <w:t xml:space="preserve">едерации </w:t>
      </w:r>
      <w:r>
        <w:rPr>
          <w:b/>
          <w:sz w:val="28"/>
          <w:szCs w:val="28"/>
        </w:rPr>
        <w:br/>
        <w:t xml:space="preserve">«</w:t>
      </w:r>
      <w:r>
        <w:rPr>
          <w:b/>
          <w:bCs/>
          <w:sz w:val="28"/>
          <w:szCs w:val="28"/>
        </w:rPr>
        <w:t xml:space="preserve">О Дне </w:t>
      </w:r>
      <w:r>
        <w:rPr>
          <w:b/>
          <w:bCs/>
          <w:sz w:val="28"/>
          <w:szCs w:val="28"/>
        </w:rPr>
        <w:t xml:space="preserve">сварщика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 xml:space="preserve">Правительства Российской</w:t>
      </w:r>
      <w:r>
        <w:rPr>
          <w:bCs/>
          <w:sz w:val="28"/>
          <w:szCs w:val="28"/>
        </w:rPr>
        <w:t xml:space="preserve"> Федерации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Дн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сварщика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(далее – проект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) </w:t>
      </w:r>
      <w:r>
        <w:rPr>
          <w:sz w:val="28"/>
        </w:rPr>
        <w:t xml:space="preserve">в</w:t>
      </w:r>
      <w:r>
        <w:rPr>
          <w:sz w:val="28"/>
        </w:rPr>
        <w:t xml:space="preserve"> соответствии с письмами Аппарата Прав</w:t>
      </w:r>
      <w:r>
        <w:rPr>
          <w:sz w:val="28"/>
        </w:rPr>
        <w:t xml:space="preserve">ительства Российской Федерации </w:t>
      </w:r>
      <w:r>
        <w:rPr>
          <w:sz w:val="28"/>
        </w:rPr>
        <w:t xml:space="preserve">от 9 июня 2025 г. № 51174-П9 </w:t>
      </w:r>
      <w:r>
        <w:rPr>
          <w:sz w:val="28"/>
        </w:rPr>
        <w:br/>
      </w:r>
      <w:r>
        <w:rPr>
          <w:sz w:val="28"/>
        </w:rPr>
        <w:t xml:space="preserve">и Министерства труда и социальной защиты Российской Федерации </w:t>
      </w:r>
      <w:r>
        <w:rPr>
          <w:sz w:val="28"/>
        </w:rPr>
        <w:br/>
      </w:r>
      <w:r>
        <w:rPr>
          <w:sz w:val="28"/>
        </w:rPr>
        <w:t xml:space="preserve">от 5 августа 2025 г. № 50-7-3/10/В-13239</w:t>
      </w:r>
      <w:r>
        <w:rPr>
          <w:bCs/>
          <w:sz w:val="28"/>
          <w:szCs w:val="28"/>
        </w:rPr>
        <w:t xml:space="preserve">, а также на основании пункта</w:t>
      </w:r>
      <w:r>
        <w:rPr>
          <w:bCs/>
          <w:sz w:val="28"/>
          <w:szCs w:val="28"/>
        </w:rPr>
        <w:t xml:space="preserve"> 2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Указа П</w:t>
      </w:r>
      <w:r>
        <w:rPr>
          <w:bCs/>
          <w:sz w:val="28"/>
          <w:szCs w:val="28"/>
        </w:rPr>
        <w:t xml:space="preserve">резидента Российской Федерации </w:t>
      </w:r>
      <w:r>
        <w:rPr>
          <w:bCs/>
          <w:sz w:val="28"/>
          <w:szCs w:val="28"/>
        </w:rPr>
        <w:t xml:space="preserve">от 31 июля 2013 г. № 659 «О порядке установления в Российской Федерации памятных дней и профессиональных праздников» и Правилами установления профессиональных праздников, утвержденными постановлением Правительства Российской Федерации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13 ноября 2013 г. № 1016 (далее – Правила).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</w:t>
      </w:r>
      <w:r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2 Правил федеральный орган исполнительной власти либо иной федеральный государственный орган при принятии решения об установлении профессионального праздника руководствуется </w:t>
      </w:r>
      <w:r>
        <w:rPr>
          <w:bCs/>
          <w:sz w:val="28"/>
          <w:szCs w:val="28"/>
        </w:rPr>
        <w:t xml:space="preserve">одним из критериев данного пункта.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Та</w:t>
      </w:r>
      <w:r>
        <w:rPr>
          <w:bCs/>
          <w:sz w:val="28"/>
          <w:szCs w:val="28"/>
        </w:rPr>
        <w:t xml:space="preserve">к, одним из критериев является </w:t>
      </w:r>
      <w:r>
        <w:rPr>
          <w:bCs/>
          <w:sz w:val="28"/>
          <w:szCs w:val="28"/>
        </w:rPr>
        <w:t xml:space="preserve">то, что сфера</w:t>
      </w:r>
      <w:r>
        <w:rPr>
          <w:bCs/>
          <w:sz w:val="28"/>
          <w:szCs w:val="28"/>
        </w:rPr>
        <w:t xml:space="preserve"> деятельности</w:t>
      </w:r>
      <w:r>
        <w:rPr>
          <w:bCs/>
          <w:sz w:val="28"/>
          <w:szCs w:val="28"/>
        </w:rPr>
        <w:t xml:space="preserve"> указывается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соответствии с подгруппой или малой группой занятий Общероссийского классификатора занятий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 xml:space="preserve">ОК 010-2014</w:t>
      </w:r>
      <w:r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либо укрупненной группой специальн</w:t>
      </w:r>
      <w:r>
        <w:rPr>
          <w:bCs/>
          <w:sz w:val="28"/>
          <w:szCs w:val="28"/>
        </w:rPr>
        <w:t xml:space="preserve">остей и направлений подготовки </w:t>
      </w:r>
      <w:r>
        <w:rPr>
          <w:bCs/>
          <w:sz w:val="28"/>
          <w:szCs w:val="28"/>
        </w:rPr>
        <w:t xml:space="preserve">или направлениями </w:t>
      </w:r>
      <w:r>
        <w:rPr>
          <w:bCs/>
          <w:sz w:val="28"/>
          <w:szCs w:val="28"/>
        </w:rPr>
        <w:t xml:space="preserve">подготовки Общероссийского классификатора специальностей по образованию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пункту 2 Правил при установле</w:t>
      </w:r>
      <w:r>
        <w:rPr>
          <w:bCs/>
          <w:sz w:val="28"/>
          <w:szCs w:val="28"/>
        </w:rPr>
        <w:t xml:space="preserve">нии профессионального праздника </w:t>
      </w:r>
      <w:r>
        <w:rPr>
          <w:bCs/>
          <w:sz w:val="28"/>
          <w:szCs w:val="28"/>
        </w:rPr>
        <w:t xml:space="preserve">для работников, сфера деятельности которых указана </w:t>
      </w:r>
      <w:r>
        <w:rPr>
          <w:bCs/>
          <w:sz w:val="28"/>
          <w:szCs w:val="28"/>
        </w:rPr>
        <w:t xml:space="preserve">в соответствии с подгруппой или малой группой занятий Общероссийского классификатора занятий либо укрупненной группой специальностей и направлений подготовки или направлениями подготовки Общероссийского классификатора специальностей по образованию</w:t>
      </w:r>
      <w:r>
        <w:rPr>
          <w:bCs/>
          <w:sz w:val="28"/>
          <w:szCs w:val="28"/>
        </w:rPr>
        <w:t xml:space="preserve">, предложение вносится в виде проекта постановления Правительства Российской Федерации.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Малая группа занятия </w:t>
      </w:r>
      <w:r>
        <w:rPr>
          <w:bCs/>
          <w:sz w:val="28"/>
          <w:szCs w:val="28"/>
        </w:rPr>
        <w:t xml:space="preserve">721 «Формовщики, сварщики, вальцовщики, подготовители конструкционного </w:t>
      </w:r>
      <w:r>
        <w:rPr>
          <w:bCs/>
          <w:sz w:val="28"/>
          <w:szCs w:val="28"/>
        </w:rPr>
        <w:t xml:space="preserve">металла и рабочие родственных занятий», при этом профессия имеет собственную начальную группу «7212 Сварщики и газорезчики», была первоначально включена в </w:t>
      </w:r>
      <w:r>
        <w:rPr>
          <w:bCs/>
          <w:sz w:val="28"/>
          <w:szCs w:val="28"/>
        </w:rPr>
        <w:t xml:space="preserve">Общероссийский классификатор занятий </w:t>
        <w:br/>
        <w:t xml:space="preserve">(далее – ОКЗ) ОК 010-93 (пр</w:t>
      </w:r>
      <w:r>
        <w:rPr>
          <w:bCs/>
          <w:sz w:val="28"/>
          <w:szCs w:val="28"/>
        </w:rPr>
        <w:t xml:space="preserve">инят и введен в действие Постановлением Госстандарта России от 30 декабря 1993 № 298) и была сохранена </w:t>
      </w:r>
      <w:r>
        <w:rPr>
          <w:bCs/>
          <w:sz w:val="28"/>
          <w:szCs w:val="28"/>
        </w:rPr>
        <w:t xml:space="preserve">без изменений в </w:t>
      </w:r>
      <w:r>
        <w:rPr>
          <w:bCs/>
          <w:sz w:val="28"/>
          <w:szCs w:val="28"/>
        </w:rPr>
        <w:t xml:space="preserve">ОКЗ </w:t>
        <w:br/>
      </w:r>
      <w:r>
        <w:rPr>
          <w:bCs/>
          <w:sz w:val="28"/>
          <w:szCs w:val="28"/>
        </w:rPr>
        <w:t xml:space="preserve">ОК 010-2014</w:t>
      </w:r>
      <w:r>
        <w:rPr>
          <w:bCs/>
          <w:sz w:val="28"/>
          <w:szCs w:val="28"/>
        </w:rPr>
        <w:t xml:space="preserve">, принятым приказом </w:t>
      </w:r>
      <w:r>
        <w:rPr>
          <w:bCs/>
          <w:sz w:val="28"/>
          <w:szCs w:val="28"/>
        </w:rPr>
        <w:t xml:space="preserve">Росстандарта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12 декабря 2014 г. № 2020-ст.</w:t>
      </w:r>
      <w:r>
        <w:rPr>
          <w:bCs/>
          <w:sz w:val="28"/>
          <w:szCs w:val="28"/>
        </w:rPr>
      </w:r>
      <w:r/>
    </w:p>
    <w:p>
      <w:pPr>
        <w:pStyle w:val="883"/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Помимо этого, Общероссийский</w:t>
      </w:r>
      <w:r>
        <w:rPr>
          <w:bCs/>
          <w:sz w:val="28"/>
          <w:szCs w:val="28"/>
        </w:rPr>
        <w:t xml:space="preserve"> классификатор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специальностей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по образованию</w:t>
      </w:r>
      <w:r>
        <w:rPr>
          <w:bCs/>
          <w:sz w:val="28"/>
          <w:szCs w:val="28"/>
        </w:rPr>
        <w:t xml:space="preserve"> ОК </w:t>
      </w:r>
      <w:r>
        <w:rPr>
          <w:bCs/>
          <w:sz w:val="28"/>
          <w:szCs w:val="28"/>
        </w:rPr>
        <w:t xml:space="preserve">009-20016 (далее – ОКСО)</w:t>
      </w:r>
      <w:r>
        <w:rPr>
          <w:bCs/>
          <w:sz w:val="28"/>
          <w:szCs w:val="28"/>
        </w:rPr>
        <w:t xml:space="preserve">, утвержденный</w:t>
      </w:r>
      <w:r>
        <w:rPr>
          <w:bCs/>
          <w:sz w:val="28"/>
          <w:szCs w:val="28"/>
        </w:rPr>
        <w:t xml:space="preserve"> приказом </w:t>
      </w:r>
      <w:r>
        <w:rPr>
          <w:bCs/>
          <w:sz w:val="28"/>
          <w:szCs w:val="28"/>
        </w:rPr>
        <w:t xml:space="preserve">Росстандарта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декабря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2003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2007</w:t>
      </w:r>
      <w:r>
        <w:rPr>
          <w:bCs/>
          <w:sz w:val="28"/>
          <w:szCs w:val="28"/>
        </w:rPr>
        <w:t xml:space="preserve">-ст, </w:t>
      </w:r>
      <w:r>
        <w:rPr>
          <w:bCs/>
          <w:sz w:val="28"/>
          <w:szCs w:val="28"/>
        </w:rPr>
        <w:t xml:space="preserve">содержит соответствующие сфере деятельности сварщика профессии, специальности и направления подготовки: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 </w:t>
      </w:r>
      <w:r>
        <w:rPr>
          <w:bCs/>
          <w:sz w:val="28"/>
          <w:szCs w:val="28"/>
        </w:rPr>
        <w:t xml:space="preserve">Профессии среднего профессионального образования: 2.15.01.05 </w:t>
      </w:r>
      <w:r>
        <w:rPr>
          <w:bCs/>
          <w:sz w:val="28"/>
          <w:szCs w:val="28"/>
        </w:rPr>
        <w:t xml:space="preserve">Сварщик (ручной и частично механизированной сварки (наплавки)</w:t>
      </w:r>
      <w:r>
        <w:rPr>
          <w:bCs/>
          <w:sz w:val="28"/>
          <w:szCs w:val="28"/>
        </w:rPr>
        <w:t xml:space="preserve">; 2.15.01.06 Сварщик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лазерных установках; 2.15.01.07 </w:t>
      </w:r>
      <w:r>
        <w:rPr>
          <w:bCs/>
          <w:sz w:val="28"/>
          <w:szCs w:val="28"/>
        </w:rPr>
        <w:t xml:space="preserve">Сварщик на электрон</w:t>
      </w:r>
      <w:r>
        <w:rPr>
          <w:bCs/>
          <w:sz w:val="28"/>
          <w:szCs w:val="28"/>
        </w:rPr>
        <w:t xml:space="preserve">но-лучевых сварочных установках;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 </w:t>
      </w:r>
      <w:r>
        <w:rPr>
          <w:bCs/>
          <w:sz w:val="28"/>
          <w:szCs w:val="28"/>
        </w:rPr>
        <w:t xml:space="preserve">Специальности среднего профессионального образования: </w:t>
      </w:r>
      <w:r>
        <w:rPr>
          <w:bCs/>
          <w:sz w:val="28"/>
          <w:szCs w:val="28"/>
        </w:rPr>
        <w:t xml:space="preserve">2.22.02.06 (2.15.02.19) Сварочное производство.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проектом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предлагается установить профессиональный праздник «День </w:t>
      </w:r>
      <w:r>
        <w:rPr>
          <w:sz w:val="28"/>
          <w:szCs w:val="28"/>
        </w:rPr>
        <w:t xml:space="preserve">сварщика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Дату проведения указанного пра</w:t>
      </w:r>
      <w:r>
        <w:rPr>
          <w:sz w:val="28"/>
          <w:szCs w:val="28"/>
        </w:rPr>
        <w:t xml:space="preserve">здника предлагается установить </w:t>
        <w:br/>
        <w:t xml:space="preserve">на последнюю пятницу мая</w:t>
      </w:r>
      <w:r>
        <w:rPr>
          <w:sz w:val="28"/>
          <w:szCs w:val="28"/>
        </w:rPr>
        <w:t xml:space="preserve">, указанная дата неформально утвердилась в </w:t>
      </w:r>
      <w:r>
        <w:rPr>
          <w:sz w:val="28"/>
          <w:szCs w:val="28"/>
        </w:rPr>
        <w:t xml:space="preserve">сварочном профессиональном</w:t>
      </w:r>
      <w:r>
        <w:rPr>
          <w:sz w:val="28"/>
          <w:szCs w:val="28"/>
        </w:rPr>
        <w:t xml:space="preserve"> сообществе.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по</w:t>
      </w:r>
      <w:r>
        <w:rPr>
          <w:sz w:val="28"/>
          <w:szCs w:val="28"/>
        </w:rPr>
        <w:t xml:space="preserve">требует дополнительных расходов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федерального бюджета и изменения порядка финансирования федеральных органов исполнительной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Предлагаемые проектом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решения не повлияют </w:t>
      </w:r>
      <w:r>
        <w:rPr>
          <w:sz w:val="28"/>
          <w:szCs w:val="28"/>
        </w:rPr>
        <w:t xml:space="preserve">на деятельность органов государственной власти субъектов Российской Федерации и (или) органов местного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положениям Договора о Евразийском экономическом союзе, а также положениям иных международных договоров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проект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содержит положений </w:t>
      </w:r>
      <w:r>
        <w:rPr>
          <w:sz w:val="28"/>
          <w:szCs w:val="28"/>
        </w:rPr>
        <w:t xml:space="preserve">в части изменения общих принципов правового регулирования, анализ правоприменительной практики не требуется.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повлечет соци</w:t>
      </w:r>
      <w:r>
        <w:rPr>
          <w:sz w:val="28"/>
          <w:szCs w:val="28"/>
        </w:rPr>
        <w:t xml:space="preserve">ально-экономических, финансовых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иных последствий реализации предлагаемых решений, в том числе для субъектов предпринимательской и иной экономической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содерж</w:t>
      </w:r>
      <w:r>
        <w:rPr>
          <w:sz w:val="28"/>
          <w:szCs w:val="28"/>
        </w:rPr>
        <w:t xml:space="preserve">ит решений, оказывающих влияние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достижение целей государственных программ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отсутств</w:t>
      </w:r>
      <w:r>
        <w:rPr>
          <w:sz w:val="28"/>
          <w:szCs w:val="28"/>
        </w:rPr>
        <w:t xml:space="preserve">уют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которые связаны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осуществлением предпринимательской и </w:t>
      </w:r>
      <w:r>
        <w:rPr>
          <w:sz w:val="28"/>
          <w:szCs w:val="28"/>
        </w:rPr>
        <w:t xml:space="preserve">иной экономической деятельности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оценка соблюдения кот</w:t>
      </w:r>
      <w:r>
        <w:rPr>
          <w:sz w:val="28"/>
          <w:szCs w:val="28"/>
        </w:rPr>
        <w:t xml:space="preserve">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обязательные требования),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</w:t>
      </w:r>
      <w:r>
        <w:rPr>
          <w:sz w:val="28"/>
          <w:szCs w:val="28"/>
        </w:rPr>
        <w:t xml:space="preserve">ных требований или последствиях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несоблюдения.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влечет за собой необходимость внесения изменений в другие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720" w:leader="none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720" w:leader="none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38119380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9"/>
    <w:next w:val="879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basedOn w:val="880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79"/>
    <w:next w:val="879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basedOn w:val="880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9"/>
    <w:next w:val="8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80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9"/>
    <w:next w:val="879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80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80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80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80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8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0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79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0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0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0"/>
    <w:link w:val="884"/>
    <w:uiPriority w:val="99"/>
  </w:style>
  <w:style w:type="character" w:styleId="733">
    <w:name w:val="Footer Char"/>
    <w:basedOn w:val="880"/>
    <w:link w:val="886"/>
    <w:uiPriority w:val="99"/>
  </w:style>
  <w:style w:type="paragraph" w:styleId="734">
    <w:name w:val="Caption"/>
    <w:basedOn w:val="879"/>
    <w:next w:val="879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880"/>
    <w:link w:val="734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0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0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 w:customStyle="1">
    <w:name w:val="ConsPlusNormal"/>
    <w:basedOn w:val="87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4">
    <w:name w:val="Header"/>
    <w:basedOn w:val="879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80"/>
    <w:link w:val="884"/>
    <w:uiPriority w:val="99"/>
  </w:style>
  <w:style w:type="paragraph" w:styleId="886">
    <w:name w:val="Footer"/>
    <w:basedOn w:val="879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80"/>
    <w:link w:val="886"/>
    <w:uiPriority w:val="99"/>
  </w:style>
  <w:style w:type="table" w:styleId="888">
    <w:name w:val="Table Grid"/>
    <w:basedOn w:val="8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Шмарикова Виктория Александровна</dc:creator>
  <cp:keywords/>
  <dc:description/>
  <cp:lastModifiedBy>Воронцов В.Ю., 05 ДСиТМ</cp:lastModifiedBy>
  <cp:revision>7</cp:revision>
  <dcterms:created xsi:type="dcterms:W3CDTF">2025-08-21T12:10:00Z</dcterms:created>
  <dcterms:modified xsi:type="dcterms:W3CDTF">2025-08-25T10:25:36Z</dcterms:modified>
</cp:coreProperties>
</file>